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2A2BBD" w14:textId="77777777" w:rsidR="00143BAA" w:rsidRPr="00057A67" w:rsidRDefault="00143BAA" w:rsidP="00143BAA">
      <w:pPr>
        <w:spacing w:after="0"/>
        <w:jc w:val="center"/>
        <w:rPr>
          <w:rFonts w:ascii="Times" w:hAnsi="Times"/>
          <w:sz w:val="24"/>
          <w:szCs w:val="20"/>
        </w:rPr>
      </w:pPr>
      <w:r>
        <w:rPr>
          <w:rFonts w:ascii="Times New Roman" w:hAnsi="Times New Roman"/>
          <w:smallCaps/>
          <w:sz w:val="18"/>
          <w:szCs w:val="20"/>
          <w:u w:color="0000FF"/>
        </w:rPr>
        <w:t>Melton</w:t>
      </w:r>
      <w:r w:rsidRPr="00057A67">
        <w:rPr>
          <w:rFonts w:ascii="Times New Roman" w:hAnsi="Times New Roman"/>
          <w:smallCaps/>
          <w:sz w:val="18"/>
          <w:szCs w:val="20"/>
          <w:u w:color="0000FF"/>
        </w:rPr>
        <w:t xml:space="preserve"> </w:t>
      </w:r>
      <w:r w:rsidRPr="00057A67">
        <w:rPr>
          <w:rFonts w:ascii="Times" w:hAnsi="Times"/>
          <w:smallCaps/>
          <w:sz w:val="18"/>
          <w:szCs w:val="20"/>
        </w:rPr>
        <w:t>Planning Scheme</w:t>
      </w:r>
    </w:p>
    <w:p w14:paraId="28DCE307" w14:textId="77777777" w:rsidR="00143BAA" w:rsidRPr="00CF44F3" w:rsidRDefault="00143BAA" w:rsidP="00143BAA">
      <w:pPr>
        <w:autoSpaceDE w:val="0"/>
        <w:autoSpaceDN w:val="0"/>
        <w:adjustRightInd w:val="0"/>
        <w:spacing w:after="0"/>
        <w:rPr>
          <w:rStyle w:val="SubtleEmphasis"/>
        </w:rPr>
      </w:pPr>
    </w:p>
    <w:p w14:paraId="53DBD6A6" w14:textId="37B53838" w:rsidR="004843BA" w:rsidRPr="00FA1D7F" w:rsidRDefault="004843BA" w:rsidP="004843BA">
      <w:pPr>
        <w:autoSpaceDE w:val="0"/>
        <w:autoSpaceDN w:val="0"/>
        <w:adjustRightInd w:val="0"/>
        <w:spacing w:after="0"/>
        <w:rPr>
          <w:rFonts w:cs="Arial"/>
          <w:b/>
          <w:bCs/>
          <w:sz w:val="30"/>
          <w:szCs w:val="30"/>
        </w:rPr>
      </w:pPr>
      <w:r>
        <w:rPr>
          <w:rFonts w:cs="Arial"/>
          <w:b/>
          <w:bCs/>
          <w:sz w:val="30"/>
          <w:szCs w:val="30"/>
        </w:rPr>
        <w:t xml:space="preserve">Statement of Significance: 1809-1859 Gisborne-Melton Road, Kurunjang, “The Oaks Homestead”, </w:t>
      </w:r>
      <w:r w:rsidR="005D0192" w:rsidRPr="003509BA">
        <w:rPr>
          <w:rFonts w:cs="Arial"/>
          <w:b/>
          <w:bCs/>
          <w:sz w:val="30"/>
          <w:szCs w:val="30"/>
        </w:rPr>
        <w:t>June</w:t>
      </w:r>
      <w:r w:rsidRPr="003509BA">
        <w:rPr>
          <w:rFonts w:cs="Arial"/>
          <w:b/>
          <w:bCs/>
          <w:sz w:val="30"/>
          <w:szCs w:val="30"/>
        </w:rPr>
        <w:t xml:space="preserve"> 2022</w:t>
      </w:r>
    </w:p>
    <w:p w14:paraId="044E95EB" w14:textId="77777777" w:rsidR="00143BAA" w:rsidRPr="00FA1D7F" w:rsidRDefault="00143BAA" w:rsidP="00143BAA">
      <w:pPr>
        <w:autoSpaceDE w:val="0"/>
        <w:autoSpaceDN w:val="0"/>
        <w:adjustRightInd w:val="0"/>
        <w:spacing w:after="0"/>
        <w:rPr>
          <w:rFonts w:cs="Arial"/>
          <w:b/>
          <w:bCs/>
          <w:sz w:val="26"/>
          <w:szCs w:val="26"/>
        </w:rPr>
      </w:pPr>
    </w:p>
    <w:tbl>
      <w:tblPr>
        <w:tblStyle w:val="TableGrid"/>
        <w:tblW w:w="0" w:type="auto"/>
        <w:tblLook w:val="04A0" w:firstRow="1" w:lastRow="0" w:firstColumn="1" w:lastColumn="0" w:noHBand="0" w:noVBand="1"/>
      </w:tblPr>
      <w:tblGrid>
        <w:gridCol w:w="1642"/>
        <w:gridCol w:w="2768"/>
        <w:gridCol w:w="1518"/>
        <w:gridCol w:w="3088"/>
      </w:tblGrid>
      <w:tr w:rsidR="004837A1" w:rsidRPr="00FA1D7F" w14:paraId="591C495D" w14:textId="77777777" w:rsidTr="00C24581">
        <w:tc>
          <w:tcPr>
            <w:tcW w:w="1668" w:type="dxa"/>
            <w:tcBorders>
              <w:top w:val="single" w:sz="4" w:space="0" w:color="auto"/>
              <w:left w:val="single" w:sz="4" w:space="0" w:color="FFFFFF"/>
              <w:right w:val="single" w:sz="4" w:space="0" w:color="FFFFFF"/>
            </w:tcBorders>
            <w:shd w:val="clear" w:color="auto" w:fill="auto"/>
          </w:tcPr>
          <w:p w14:paraId="55D9FEA9" w14:textId="77777777" w:rsidR="00143BAA" w:rsidRPr="00C24581" w:rsidRDefault="00143BAA" w:rsidP="00F74019">
            <w:pPr>
              <w:autoSpaceDE w:val="0"/>
              <w:autoSpaceDN w:val="0"/>
              <w:adjustRightInd w:val="0"/>
              <w:spacing w:before="60" w:after="60"/>
              <w:rPr>
                <w:rFonts w:cs="Arial"/>
                <w:b/>
                <w:bCs/>
                <w:szCs w:val="20"/>
              </w:rPr>
            </w:pPr>
            <w:r w:rsidRPr="00C24581">
              <w:rPr>
                <w:rFonts w:cs="Arial"/>
                <w:b/>
                <w:bCs/>
                <w:szCs w:val="20"/>
              </w:rPr>
              <w:t>Heritage Place:</w:t>
            </w:r>
          </w:p>
        </w:tc>
        <w:tc>
          <w:tcPr>
            <w:tcW w:w="2835" w:type="dxa"/>
            <w:tcBorders>
              <w:top w:val="single" w:sz="4" w:space="0" w:color="auto"/>
              <w:left w:val="single" w:sz="4" w:space="0" w:color="FFFFFF"/>
            </w:tcBorders>
            <w:shd w:val="clear" w:color="auto" w:fill="auto"/>
          </w:tcPr>
          <w:p w14:paraId="270B6C44" w14:textId="2A07A272" w:rsidR="00143BAA" w:rsidRDefault="004837A1" w:rsidP="00F74019">
            <w:pPr>
              <w:autoSpaceDE w:val="0"/>
              <w:autoSpaceDN w:val="0"/>
              <w:adjustRightInd w:val="0"/>
              <w:spacing w:before="60" w:after="60"/>
              <w:rPr>
                <w:rFonts w:cs="Arial"/>
                <w:szCs w:val="19"/>
              </w:rPr>
            </w:pPr>
            <w:r>
              <w:rPr>
                <w:rFonts w:cs="Arial"/>
                <w:szCs w:val="19"/>
              </w:rPr>
              <w:t>Bluestone ruin</w:t>
            </w:r>
            <w:r w:rsidR="006C14A0">
              <w:rPr>
                <w:rFonts w:cs="Arial"/>
                <w:szCs w:val="19"/>
              </w:rPr>
              <w:t xml:space="preserve"> </w:t>
            </w:r>
          </w:p>
          <w:p w14:paraId="7C45427E" w14:textId="5CB9C6F2" w:rsidR="00613EBE" w:rsidRPr="00C24581" w:rsidRDefault="004837A1" w:rsidP="00033E99">
            <w:pPr>
              <w:autoSpaceDE w:val="0"/>
              <w:autoSpaceDN w:val="0"/>
              <w:adjustRightInd w:val="0"/>
              <w:spacing w:before="60" w:after="60"/>
              <w:rPr>
                <w:rFonts w:cs="Arial"/>
                <w:bCs/>
                <w:szCs w:val="20"/>
              </w:rPr>
            </w:pPr>
            <w:r>
              <w:rPr>
                <w:rFonts w:cs="Arial"/>
                <w:bCs/>
                <w:szCs w:val="20"/>
              </w:rPr>
              <w:t>1809-1859 Gisborne-Melton Road</w:t>
            </w:r>
            <w:r w:rsidR="001F7BA2">
              <w:rPr>
                <w:rFonts w:cs="Arial"/>
                <w:bCs/>
                <w:szCs w:val="20"/>
              </w:rPr>
              <w:t>, Kurunjang</w:t>
            </w:r>
            <w:r>
              <w:rPr>
                <w:rFonts w:cs="Arial"/>
                <w:bCs/>
                <w:szCs w:val="20"/>
              </w:rPr>
              <w:t xml:space="preserve"> </w:t>
            </w:r>
          </w:p>
        </w:tc>
        <w:tc>
          <w:tcPr>
            <w:tcW w:w="1559" w:type="dxa"/>
            <w:tcBorders>
              <w:top w:val="single" w:sz="4" w:space="0" w:color="auto"/>
              <w:right w:val="single" w:sz="4" w:space="0" w:color="FFFFFF"/>
            </w:tcBorders>
          </w:tcPr>
          <w:p w14:paraId="0814DB28" w14:textId="77777777" w:rsidR="00143BAA" w:rsidRPr="00FA1D7F" w:rsidRDefault="00143BAA" w:rsidP="00F74019">
            <w:pPr>
              <w:autoSpaceDE w:val="0"/>
              <w:autoSpaceDN w:val="0"/>
              <w:adjustRightInd w:val="0"/>
              <w:spacing w:before="60" w:after="60"/>
              <w:rPr>
                <w:rFonts w:cs="Arial"/>
                <w:b/>
                <w:bCs/>
                <w:szCs w:val="20"/>
              </w:rPr>
            </w:pPr>
            <w:r w:rsidRPr="00FA1D7F">
              <w:rPr>
                <w:rFonts w:cs="Arial"/>
                <w:b/>
                <w:bCs/>
                <w:szCs w:val="20"/>
              </w:rPr>
              <w:t>PS ref no:</w:t>
            </w:r>
          </w:p>
        </w:tc>
        <w:tc>
          <w:tcPr>
            <w:tcW w:w="3180" w:type="dxa"/>
            <w:tcBorders>
              <w:top w:val="single" w:sz="4" w:space="0" w:color="auto"/>
              <w:left w:val="single" w:sz="4" w:space="0" w:color="FFFFFF"/>
              <w:right w:val="single" w:sz="4" w:space="0" w:color="FFFFFF"/>
            </w:tcBorders>
          </w:tcPr>
          <w:p w14:paraId="232838EB" w14:textId="355FA74B" w:rsidR="00143BAA" w:rsidRPr="00FA1D7F" w:rsidRDefault="004843BA" w:rsidP="00F74019">
            <w:pPr>
              <w:autoSpaceDE w:val="0"/>
              <w:autoSpaceDN w:val="0"/>
              <w:adjustRightInd w:val="0"/>
              <w:spacing w:before="60" w:after="60"/>
              <w:rPr>
                <w:rFonts w:cs="Arial"/>
                <w:bCs/>
                <w:szCs w:val="20"/>
              </w:rPr>
            </w:pPr>
            <w:r>
              <w:rPr>
                <w:rFonts w:cs="Arial"/>
                <w:bCs/>
                <w:szCs w:val="20"/>
              </w:rPr>
              <w:t>HO138</w:t>
            </w:r>
          </w:p>
        </w:tc>
      </w:tr>
    </w:tbl>
    <w:p w14:paraId="2D376541" w14:textId="77777777" w:rsidR="00143BAA" w:rsidRPr="00FA1D7F" w:rsidRDefault="00143BAA" w:rsidP="00143BAA">
      <w:pPr>
        <w:autoSpaceDE w:val="0"/>
        <w:autoSpaceDN w:val="0"/>
        <w:adjustRightInd w:val="0"/>
        <w:spacing w:after="0"/>
        <w:rPr>
          <w:rFonts w:cs="Arial"/>
          <w:bCs/>
          <w:i/>
          <w:sz w:val="18"/>
          <w:szCs w:val="18"/>
        </w:rPr>
      </w:pPr>
    </w:p>
    <w:p w14:paraId="41343ABE" w14:textId="3888A1C2" w:rsidR="00143BAA" w:rsidRDefault="00950801" w:rsidP="00613EBE">
      <w:pPr>
        <w:autoSpaceDE w:val="0"/>
        <w:autoSpaceDN w:val="0"/>
        <w:adjustRightInd w:val="0"/>
        <w:spacing w:after="0"/>
        <w:jc w:val="center"/>
        <w:rPr>
          <w:rFonts w:cs="Arial"/>
          <w:b/>
          <w:bCs/>
          <w:szCs w:val="23"/>
        </w:rPr>
      </w:pPr>
      <w:r>
        <w:rPr>
          <w:noProof/>
        </w:rPr>
        <w:drawing>
          <wp:inline distT="0" distB="0" distL="0" distR="0" wp14:anchorId="6CB26D5C" wp14:editId="141A531E">
            <wp:extent cx="4048125" cy="2990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048125" cy="2990850"/>
                    </a:xfrm>
                    <a:prstGeom prst="rect">
                      <a:avLst/>
                    </a:prstGeom>
                  </pic:spPr>
                </pic:pic>
              </a:graphicData>
            </a:graphic>
          </wp:inline>
        </w:drawing>
      </w:r>
    </w:p>
    <w:p w14:paraId="61452755" w14:textId="3502C35E" w:rsidR="000709BA" w:rsidRDefault="000709BA" w:rsidP="00613EBE">
      <w:pPr>
        <w:autoSpaceDE w:val="0"/>
        <w:autoSpaceDN w:val="0"/>
        <w:adjustRightInd w:val="0"/>
        <w:spacing w:after="0"/>
        <w:jc w:val="center"/>
        <w:rPr>
          <w:rFonts w:cs="Arial"/>
          <w:b/>
          <w:bCs/>
          <w:szCs w:val="23"/>
        </w:rPr>
      </w:pPr>
    </w:p>
    <w:p w14:paraId="0BBE537C" w14:textId="77777777" w:rsidR="00143BAA" w:rsidRPr="00FA1D7F" w:rsidRDefault="00143BAA" w:rsidP="00251270">
      <w:pPr>
        <w:pBdr>
          <w:bottom w:val="single" w:sz="6" w:space="1" w:color="auto"/>
        </w:pBdr>
        <w:autoSpaceDE w:val="0"/>
        <w:autoSpaceDN w:val="0"/>
        <w:adjustRightInd w:val="0"/>
        <w:spacing w:before="120" w:after="120"/>
        <w:rPr>
          <w:rFonts w:cs="Arial"/>
          <w:b/>
          <w:bCs/>
          <w:szCs w:val="23"/>
        </w:rPr>
      </w:pPr>
      <w:r w:rsidRPr="00FA1D7F">
        <w:rPr>
          <w:rFonts w:cs="Arial"/>
          <w:b/>
          <w:bCs/>
          <w:szCs w:val="23"/>
        </w:rPr>
        <w:t>What is significant?</w:t>
      </w:r>
    </w:p>
    <w:p w14:paraId="40DBF0C3" w14:textId="3581F44E" w:rsidR="00143BAA" w:rsidRDefault="004837A1" w:rsidP="006C14A0">
      <w:r>
        <w:t xml:space="preserve">The farm ruin at 1809-1859 Gisborne-Melton Road, Kurunjang, is the remains of a relatively large bluestone farm structure with remnant internal walls and window details. It is evidence of a relatively substantial farming operation within the property from the 1860s or 1870s. </w:t>
      </w:r>
    </w:p>
    <w:p w14:paraId="5586209D" w14:textId="691028FE" w:rsidR="004843BA" w:rsidRPr="00C24581" w:rsidRDefault="004843BA" w:rsidP="006C14A0">
      <w:pPr>
        <w:rPr>
          <w:rFonts w:cs="Arial"/>
          <w:szCs w:val="19"/>
          <w:highlight w:val="yellow"/>
        </w:rPr>
      </w:pPr>
      <w:r>
        <w:t xml:space="preserve">The corrugated iron gabled roof farm building is not of significance. </w:t>
      </w:r>
    </w:p>
    <w:p w14:paraId="50B02CE0" w14:textId="77777777" w:rsidR="00143BAA" w:rsidRPr="00FA1D7F" w:rsidRDefault="00143BAA" w:rsidP="00143BAA">
      <w:pPr>
        <w:pBdr>
          <w:bottom w:val="single" w:sz="6" w:space="1" w:color="auto"/>
        </w:pBdr>
        <w:autoSpaceDE w:val="0"/>
        <w:autoSpaceDN w:val="0"/>
        <w:adjustRightInd w:val="0"/>
        <w:spacing w:after="120"/>
        <w:rPr>
          <w:rFonts w:cs="Arial"/>
          <w:b/>
          <w:bCs/>
          <w:szCs w:val="23"/>
        </w:rPr>
      </w:pPr>
      <w:r w:rsidRPr="00FA1D7F">
        <w:rPr>
          <w:rFonts w:cs="Arial"/>
          <w:b/>
          <w:bCs/>
          <w:szCs w:val="23"/>
        </w:rPr>
        <w:t>How is it significant?</w:t>
      </w:r>
    </w:p>
    <w:p w14:paraId="11B66485" w14:textId="72907100" w:rsidR="00143BAA" w:rsidRPr="00FA1D7F" w:rsidRDefault="004837A1" w:rsidP="00C24581">
      <w:pPr>
        <w:autoSpaceDE w:val="0"/>
        <w:autoSpaceDN w:val="0"/>
        <w:adjustRightInd w:val="0"/>
        <w:spacing w:after="120"/>
        <w:rPr>
          <w:rFonts w:cs="Arial"/>
          <w:szCs w:val="19"/>
        </w:rPr>
      </w:pPr>
      <w:r>
        <w:t xml:space="preserve">The farm ruin at 1809-1859 Gisborne-Melton Road, Kurunjang is of local historical significance to the City of Melton. </w:t>
      </w:r>
    </w:p>
    <w:p w14:paraId="1D3AFF4F" w14:textId="77777777" w:rsidR="00143BAA" w:rsidRPr="00FA1D7F" w:rsidRDefault="00143BAA" w:rsidP="00143BAA">
      <w:pPr>
        <w:pBdr>
          <w:bottom w:val="single" w:sz="6" w:space="1" w:color="auto"/>
        </w:pBdr>
        <w:autoSpaceDE w:val="0"/>
        <w:autoSpaceDN w:val="0"/>
        <w:adjustRightInd w:val="0"/>
        <w:spacing w:after="120"/>
        <w:rPr>
          <w:rFonts w:cs="Arial"/>
          <w:b/>
          <w:bCs/>
          <w:szCs w:val="23"/>
        </w:rPr>
      </w:pPr>
      <w:r w:rsidRPr="00FA1D7F">
        <w:rPr>
          <w:rFonts w:cs="Arial"/>
          <w:b/>
          <w:bCs/>
          <w:szCs w:val="23"/>
        </w:rPr>
        <w:t>Why is it significant?</w:t>
      </w:r>
    </w:p>
    <w:p w14:paraId="35B3B681" w14:textId="4542BAC0" w:rsidR="000709BA" w:rsidRDefault="004837A1" w:rsidP="004837A1">
      <w:pPr>
        <w:autoSpaceDE w:val="0"/>
        <w:autoSpaceDN w:val="0"/>
        <w:adjustRightInd w:val="0"/>
        <w:spacing w:after="120"/>
      </w:pPr>
      <w:r>
        <w:t xml:space="preserve">The farm ruin at 1809-1859 Gisborne-Melton Road, Kurunjang is of historical significance to the City of Melton. Although it is unclear whether the now ruinous bluestone farm building was associated with Frederick Newnham’s Hope Farm property, or was constructed during the ownership of the property by Henry George Minns from the early 1870s, the ruin survives as evidence and a remnant survivor of a relatively substantial farming operation in the area dating from the 1860s-70s. The property, known in the early twentieth century as The Oaks, was in the possession of the locally prominent Minns family for more than a century, from the early 1870s until the early 1980s (Criterion A). </w:t>
      </w:r>
    </w:p>
    <w:p w14:paraId="6BBD13C6" w14:textId="77777777" w:rsidR="003A79DC" w:rsidRPr="00FA1D7F" w:rsidRDefault="003A79DC" w:rsidP="003A79DC">
      <w:pPr>
        <w:pBdr>
          <w:bottom w:val="single" w:sz="6" w:space="1" w:color="auto"/>
        </w:pBdr>
        <w:rPr>
          <w:rFonts w:cs="Arial"/>
          <w:b/>
          <w:bCs/>
          <w:szCs w:val="23"/>
        </w:rPr>
      </w:pPr>
      <w:r w:rsidRPr="00FA1D7F">
        <w:rPr>
          <w:rFonts w:cs="Arial"/>
          <w:b/>
          <w:bCs/>
          <w:szCs w:val="23"/>
        </w:rPr>
        <w:t>Primary source</w:t>
      </w:r>
    </w:p>
    <w:p w14:paraId="3F27C70E" w14:textId="2A3AA8D2" w:rsidR="00143BAA" w:rsidRPr="00FA1D7F" w:rsidRDefault="003B6DD7" w:rsidP="00143BAA">
      <w:pPr>
        <w:autoSpaceDE w:val="0"/>
        <w:autoSpaceDN w:val="0"/>
        <w:adjustRightInd w:val="0"/>
        <w:spacing w:after="0"/>
        <w:rPr>
          <w:rFonts w:cs="Arial"/>
          <w:bCs/>
          <w:i/>
          <w:szCs w:val="18"/>
        </w:rPr>
      </w:pPr>
      <w:r>
        <w:rPr>
          <w:rFonts w:cs="Arial"/>
          <w:bCs/>
          <w:i/>
          <w:szCs w:val="18"/>
        </w:rPr>
        <w:t>City of Melton Heritage Assessment Project 20</w:t>
      </w:r>
      <w:r w:rsidR="006C14A0">
        <w:rPr>
          <w:rFonts w:cs="Arial"/>
          <w:bCs/>
          <w:i/>
          <w:szCs w:val="18"/>
        </w:rPr>
        <w:t>20/21</w:t>
      </w:r>
      <w:r>
        <w:rPr>
          <w:rFonts w:cs="Arial"/>
          <w:bCs/>
          <w:i/>
          <w:szCs w:val="18"/>
        </w:rPr>
        <w:t xml:space="preserve">: Findings, </w:t>
      </w:r>
      <w:r w:rsidR="00ED7569">
        <w:rPr>
          <w:rFonts w:cs="Arial"/>
          <w:bCs/>
          <w:i/>
          <w:szCs w:val="18"/>
        </w:rPr>
        <w:t>Lovell Chen</w:t>
      </w:r>
    </w:p>
    <w:p w14:paraId="740C4CAF" w14:textId="77777777" w:rsidR="00143BAA" w:rsidRPr="001F027E" w:rsidRDefault="00143BAA" w:rsidP="00143BAA">
      <w:pPr>
        <w:tabs>
          <w:tab w:val="left" w:pos="3005"/>
        </w:tabs>
        <w:autoSpaceDE w:val="0"/>
        <w:autoSpaceDN w:val="0"/>
        <w:adjustRightInd w:val="0"/>
        <w:spacing w:after="0"/>
        <w:rPr>
          <w:rFonts w:cs="Arial"/>
          <w:bCs/>
          <w:i/>
          <w:color w:val="FF0000"/>
          <w:szCs w:val="18"/>
        </w:rPr>
      </w:pPr>
    </w:p>
    <w:p w14:paraId="16E6C54C" w14:textId="77777777" w:rsidR="006D71D8" w:rsidRDefault="00143BAA" w:rsidP="00143BAA">
      <w:r w:rsidRPr="000F5662">
        <w:rPr>
          <w:rFonts w:ascii="Times" w:hAnsi="Times" w:cs="Times"/>
          <w:sz w:val="16"/>
        </w:rPr>
        <w:t>This document is an inc</w:t>
      </w:r>
      <w:r w:rsidR="00E053D1">
        <w:rPr>
          <w:rFonts w:ascii="Times" w:hAnsi="Times" w:cs="Times"/>
          <w:sz w:val="16"/>
        </w:rPr>
        <w:t>orporated document in the Melton</w:t>
      </w:r>
      <w:r w:rsidRPr="000F5662">
        <w:rPr>
          <w:rFonts w:ascii="Times" w:hAnsi="Times" w:cs="Times"/>
          <w:sz w:val="16"/>
        </w:rPr>
        <w:t xml:space="preserve"> Planning Scheme pursuant to section 6(2)(j) of the </w:t>
      </w:r>
      <w:r w:rsidRPr="000F5662">
        <w:rPr>
          <w:rFonts w:ascii="Times" w:hAnsi="Times" w:cs="Times"/>
          <w:i/>
          <w:sz w:val="16"/>
        </w:rPr>
        <w:t>Planning and Environment Act 1987</w:t>
      </w:r>
    </w:p>
    <w:sectPr w:rsidR="006D71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CF7AD4"/>
    <w:multiLevelType w:val="hybridMultilevel"/>
    <w:tmpl w:val="E9E47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BAA"/>
    <w:rsid w:val="00033E99"/>
    <w:rsid w:val="000709BA"/>
    <w:rsid w:val="00143BAA"/>
    <w:rsid w:val="001C3661"/>
    <w:rsid w:val="001F7BA2"/>
    <w:rsid w:val="00246602"/>
    <w:rsid w:val="00251270"/>
    <w:rsid w:val="003509BA"/>
    <w:rsid w:val="003A79DC"/>
    <w:rsid w:val="003B6DD7"/>
    <w:rsid w:val="004837A1"/>
    <w:rsid w:val="004843BA"/>
    <w:rsid w:val="005D0192"/>
    <w:rsid w:val="00613EBE"/>
    <w:rsid w:val="006C14A0"/>
    <w:rsid w:val="006D71D8"/>
    <w:rsid w:val="008C50BC"/>
    <w:rsid w:val="008E71DD"/>
    <w:rsid w:val="00950801"/>
    <w:rsid w:val="00C24581"/>
    <w:rsid w:val="00C570CD"/>
    <w:rsid w:val="00C57777"/>
    <w:rsid w:val="00C94D9B"/>
    <w:rsid w:val="00CF44F3"/>
    <w:rsid w:val="00DA3D5E"/>
    <w:rsid w:val="00E053D1"/>
    <w:rsid w:val="00EC236C"/>
    <w:rsid w:val="00ED7569"/>
    <w:rsid w:val="00F14771"/>
    <w:rsid w:val="00F425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F5A30"/>
  <w15:chartTrackingRefBased/>
  <w15:docId w15:val="{4F0F0391-6E78-459E-9023-1ED6C6D2B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143BAA"/>
    <w:pPr>
      <w:spacing w:after="200" w:line="240" w:lineRule="auto"/>
    </w:pPr>
    <w:rPr>
      <w:rFonts w:ascii="Arial" w:eastAsia="Times New Roman" w:hAnsi="Arial" w:cs="Times New Roman"/>
      <w:sz w:val="20"/>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3BA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3BAA"/>
    <w:pPr>
      <w:spacing w:line="276" w:lineRule="auto"/>
      <w:ind w:left="720"/>
      <w:contextualSpacing/>
    </w:pPr>
    <w:rPr>
      <w:rFonts w:ascii="Calibri" w:eastAsia="Calibri" w:hAnsi="Calibri"/>
      <w:sz w:val="22"/>
      <w:szCs w:val="22"/>
      <w:lang w:eastAsia="en-US"/>
    </w:rPr>
  </w:style>
  <w:style w:type="character" w:styleId="SubtleEmphasis">
    <w:name w:val="Subtle Emphasis"/>
    <w:basedOn w:val="DefaultParagraphFont"/>
    <w:uiPriority w:val="19"/>
    <w:qFormat/>
    <w:rsid w:val="00CF44F3"/>
    <w:rPr>
      <w:i/>
      <w:iCs/>
      <w:color w:val="404040" w:themeColor="text1" w:themeTint="BF"/>
    </w:rPr>
  </w:style>
  <w:style w:type="paragraph" w:styleId="BalloonText">
    <w:name w:val="Balloon Text"/>
    <w:basedOn w:val="Normal"/>
    <w:link w:val="BalloonTextChar"/>
    <w:uiPriority w:val="99"/>
    <w:semiHidden/>
    <w:unhideWhenUsed/>
    <w:rsid w:val="004843B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3BA"/>
    <w:rPr>
      <w:rFonts w:ascii="Segoe UI" w:eastAsia="Times New Roman"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254</Words>
  <Characters>1410</Characters>
  <Application>Microsoft Office Word</Application>
  <DocSecurity>0</DocSecurity>
  <Lines>36</Lines>
  <Paragraphs>17</Paragraphs>
  <ScaleCrop>false</ScaleCrop>
  <HeadingPairs>
    <vt:vector size="2" baseType="variant">
      <vt:variant>
        <vt:lpstr>Title</vt:lpstr>
      </vt:variant>
      <vt:variant>
        <vt:i4>1</vt:i4>
      </vt:variant>
    </vt:vector>
  </HeadingPairs>
  <TitlesOfParts>
    <vt:vector size="1" baseType="lpstr">
      <vt:lpstr/>
    </vt:vector>
  </TitlesOfParts>
  <Company>Melton City Council</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Borg</dc:creator>
  <cp:keywords/>
  <dc:description/>
  <cp:lastModifiedBy>Tunc Ozlatif</cp:lastModifiedBy>
  <cp:revision>9</cp:revision>
  <dcterms:created xsi:type="dcterms:W3CDTF">2022-02-24T00:03:00Z</dcterms:created>
  <dcterms:modified xsi:type="dcterms:W3CDTF">2022-06-14T05:32:00Z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