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52" w:rsidRDefault="004A45B7" w:rsidP="004A45B7">
      <w:pPr>
        <w:pStyle w:val="Heading2"/>
      </w:pPr>
      <w:r>
        <w:t>Guide to Building Over Easements</w:t>
      </w:r>
    </w:p>
    <w:p w:rsidR="00755790" w:rsidRPr="002A46DB" w:rsidRDefault="00631B2D" w:rsidP="00755790">
      <w:pPr>
        <w:rPr>
          <w:rFonts w:ascii="Arial" w:hAnsi="Arial" w:cs="Arial"/>
        </w:rPr>
      </w:pPr>
      <w:r>
        <w:rPr>
          <w:rFonts w:ascii="Arial" w:hAnsi="Arial" w:cs="Arial"/>
        </w:rPr>
        <w:t>February 2016</w:t>
      </w:r>
      <w:r w:rsidR="00755790" w:rsidRPr="002A46DB">
        <w:rPr>
          <w:rFonts w:ascii="Arial" w:hAnsi="Arial" w:cs="Arial"/>
        </w:rPr>
        <w:t xml:space="preserve"> </w:t>
      </w:r>
    </w:p>
    <w:p w:rsidR="004A45B7" w:rsidRDefault="004A45B7" w:rsidP="004A45B7">
      <w:pPr>
        <w:pStyle w:val="Heading2"/>
      </w:pPr>
      <w:r>
        <w:t>What is an easement?</w:t>
      </w:r>
    </w:p>
    <w:p w:rsidR="004A45B7" w:rsidRPr="002A46DB" w:rsidRDefault="004A45B7" w:rsidP="004A45B7">
      <w:pPr>
        <w:pStyle w:val="CM14"/>
        <w:spacing w:after="95" w:line="240" w:lineRule="atLeast"/>
        <w:ind w:right="77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An easement is a defined area of land registered on the certificate of title around: </w:t>
      </w:r>
    </w:p>
    <w:p w:rsidR="004A45B7" w:rsidRPr="002A46DB" w:rsidRDefault="00B1009A" w:rsidP="004A45B7">
      <w:pPr>
        <w:pStyle w:val="Default"/>
        <w:numPr>
          <w:ilvl w:val="0"/>
          <w:numId w:val="1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Power and telephone lines.</w:t>
      </w:r>
    </w:p>
    <w:p w:rsidR="004A45B7" w:rsidRPr="002A46DB" w:rsidRDefault="00B1009A" w:rsidP="004A45B7">
      <w:pPr>
        <w:pStyle w:val="Default"/>
        <w:numPr>
          <w:ilvl w:val="0"/>
          <w:numId w:val="1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Water and sewerage mains.</w:t>
      </w:r>
    </w:p>
    <w:p w:rsidR="004A45B7" w:rsidRPr="002A46DB" w:rsidRDefault="00B1009A" w:rsidP="004A45B7">
      <w:pPr>
        <w:pStyle w:val="Default"/>
        <w:numPr>
          <w:ilvl w:val="0"/>
          <w:numId w:val="1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Natural gas lines.</w:t>
      </w:r>
    </w:p>
    <w:p w:rsidR="004A45B7" w:rsidRPr="002A46DB" w:rsidRDefault="004A45B7" w:rsidP="004A45B7">
      <w:pPr>
        <w:pStyle w:val="Default"/>
        <w:numPr>
          <w:ilvl w:val="0"/>
          <w:numId w:val="1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Drainage pipelines</w:t>
      </w:r>
      <w:r w:rsidR="00B1009A" w:rsidRPr="002A46DB">
        <w:rPr>
          <w:rFonts w:ascii="Arial" w:hAnsi="Arial" w:cs="Arial"/>
          <w:color w:val="221E1F"/>
          <w:sz w:val="22"/>
          <w:szCs w:val="22"/>
        </w:rPr>
        <w:t>.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 </w:t>
      </w:r>
    </w:p>
    <w:p w:rsidR="004A45B7" w:rsidRPr="002A46DB" w:rsidRDefault="004A45B7" w:rsidP="004A45B7">
      <w:pPr>
        <w:pStyle w:val="Default"/>
        <w:numPr>
          <w:ilvl w:val="0"/>
          <w:numId w:val="1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Other cables and substations. </w:t>
      </w:r>
    </w:p>
    <w:p w:rsidR="004A45B7" w:rsidRPr="002A46DB" w:rsidRDefault="004A45B7" w:rsidP="004A45B7">
      <w:pPr>
        <w:pStyle w:val="CM4"/>
        <w:rPr>
          <w:rFonts w:ascii="Arial" w:hAnsi="Arial" w:cs="Arial"/>
          <w:color w:val="221E1F"/>
          <w:sz w:val="22"/>
          <w:szCs w:val="22"/>
        </w:rPr>
      </w:pPr>
    </w:p>
    <w:p w:rsidR="004A45B7" w:rsidRPr="002A46DB" w:rsidRDefault="004A45B7" w:rsidP="004A45B7">
      <w:pPr>
        <w:pStyle w:val="CM4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The organisations who maintain these services have the right to control how the land</w:t>
      </w:r>
      <w:r w:rsidR="001E2234" w:rsidRPr="002A46DB">
        <w:rPr>
          <w:rFonts w:ascii="Arial" w:hAnsi="Arial" w:cs="Arial"/>
          <w:color w:val="221E1F"/>
          <w:sz w:val="22"/>
          <w:szCs w:val="22"/>
        </w:rPr>
        <w:t xml:space="preserve"> 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in the defined area is used. Even if the land is privately owned, they have access rights if maintenance is required on their assets. </w:t>
      </w:r>
    </w:p>
    <w:p w:rsidR="004A45B7" w:rsidRPr="002A46DB" w:rsidRDefault="004A45B7" w:rsidP="004A45B7"/>
    <w:p w:rsidR="004A45B7" w:rsidRDefault="004A45B7" w:rsidP="004A45B7">
      <w:pPr>
        <w:pStyle w:val="Heading2"/>
      </w:pPr>
      <w:r>
        <w:t xml:space="preserve">What is a build over easement agreement? </w:t>
      </w:r>
    </w:p>
    <w:p w:rsidR="004A45B7" w:rsidRPr="002A46DB" w:rsidRDefault="004A45B7" w:rsidP="001E2234">
      <w:pPr>
        <w:pStyle w:val="CM7"/>
        <w:jc w:val="both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An agreement between Council and the property owner is entered into upon the consent to build over an easement to protect Council’s continuous right of access. This can be a standard build over easement agreement or a Section 173 agreement that records the same agreement onto the property title. </w:t>
      </w:r>
    </w:p>
    <w:p w:rsidR="004A45B7" w:rsidRPr="002A46DB" w:rsidRDefault="004A45B7" w:rsidP="004A45B7">
      <w:pPr>
        <w:pStyle w:val="Default"/>
        <w:rPr>
          <w:rFonts w:cs="Times New Roman"/>
          <w:color w:val="auto"/>
          <w:sz w:val="22"/>
          <w:szCs w:val="22"/>
        </w:rPr>
      </w:pPr>
    </w:p>
    <w:p w:rsidR="004A45B7" w:rsidRDefault="004A45B7" w:rsidP="004A45B7">
      <w:pPr>
        <w:pStyle w:val="Heading2"/>
      </w:pPr>
      <w:r>
        <w:t xml:space="preserve">Council’s Objectives </w:t>
      </w:r>
    </w:p>
    <w:p w:rsidR="004A45B7" w:rsidRPr="002A46DB" w:rsidRDefault="004A45B7" w:rsidP="0046649A">
      <w:pPr>
        <w:pStyle w:val="Default"/>
        <w:numPr>
          <w:ilvl w:val="0"/>
          <w:numId w:val="2"/>
        </w:numPr>
        <w:ind w:left="720" w:hanging="720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To meet our obligations in the Building Act 1993 and the Building Regulation</w:t>
      </w:r>
      <w:r w:rsidR="00B1009A" w:rsidRPr="002A46DB">
        <w:rPr>
          <w:rFonts w:ascii="Arial" w:hAnsi="Arial" w:cs="Arial"/>
          <w:color w:val="221E1F"/>
          <w:sz w:val="22"/>
          <w:szCs w:val="22"/>
        </w:rPr>
        <w:t>s 2006 as a “service authority”.</w:t>
      </w:r>
    </w:p>
    <w:p w:rsidR="004A45B7" w:rsidRPr="002A46DB" w:rsidRDefault="004A45B7" w:rsidP="004A45B7">
      <w:pPr>
        <w:pStyle w:val="Default"/>
        <w:numPr>
          <w:ilvl w:val="0"/>
          <w:numId w:val="2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To ensure access to junction pits is maintaine</w:t>
      </w:r>
      <w:r w:rsidR="00B1009A" w:rsidRPr="002A46DB">
        <w:rPr>
          <w:rFonts w:ascii="Arial" w:hAnsi="Arial" w:cs="Arial"/>
          <w:color w:val="221E1F"/>
          <w:sz w:val="22"/>
          <w:szCs w:val="22"/>
        </w:rPr>
        <w:t>d.</w:t>
      </w:r>
    </w:p>
    <w:p w:rsidR="004A45B7" w:rsidRPr="002A46DB" w:rsidRDefault="004A45B7" w:rsidP="004A45B7">
      <w:pPr>
        <w:pStyle w:val="Default"/>
        <w:numPr>
          <w:ilvl w:val="0"/>
          <w:numId w:val="2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To ensure no add</w:t>
      </w:r>
      <w:r w:rsidR="00B1009A" w:rsidRPr="002A46DB">
        <w:rPr>
          <w:rFonts w:ascii="Arial" w:hAnsi="Arial" w:cs="Arial"/>
          <w:color w:val="221E1F"/>
          <w:sz w:val="22"/>
          <w:szCs w:val="22"/>
        </w:rPr>
        <w:t>itional load is placed on pipes.</w:t>
      </w:r>
    </w:p>
    <w:p w:rsidR="004A45B7" w:rsidRPr="002A46DB" w:rsidRDefault="004A45B7" w:rsidP="0046649A">
      <w:pPr>
        <w:pStyle w:val="Default"/>
        <w:numPr>
          <w:ilvl w:val="0"/>
          <w:numId w:val="2"/>
        </w:numPr>
        <w:spacing w:after="312" w:line="240" w:lineRule="atLeast"/>
        <w:ind w:left="720" w:hanging="720"/>
        <w:jc w:val="both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To ensure Council’s interests will be protected by way of agreements binding on current and future property owners. </w:t>
      </w:r>
    </w:p>
    <w:p w:rsidR="004A45B7" w:rsidRDefault="004A45B7" w:rsidP="004A45B7">
      <w:pPr>
        <w:pStyle w:val="Heading2"/>
      </w:pPr>
      <w:r>
        <w:t xml:space="preserve">What factors are considered? </w:t>
      </w:r>
    </w:p>
    <w:p w:rsidR="004A45B7" w:rsidRPr="002A46DB" w:rsidRDefault="00B1009A" w:rsidP="004A45B7">
      <w:pPr>
        <w:pStyle w:val="Default"/>
        <w:numPr>
          <w:ilvl w:val="0"/>
          <w:numId w:val="3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What’s in the </w:t>
      </w:r>
      <w:proofErr w:type="gramStart"/>
      <w:r w:rsidRPr="002A46DB">
        <w:rPr>
          <w:rFonts w:ascii="Arial" w:hAnsi="Arial" w:cs="Arial"/>
          <w:color w:val="221E1F"/>
          <w:sz w:val="22"/>
          <w:szCs w:val="22"/>
        </w:rPr>
        <w:t>easement.</w:t>
      </w:r>
      <w:proofErr w:type="gramEnd"/>
    </w:p>
    <w:p w:rsidR="004A45B7" w:rsidRPr="002A46DB" w:rsidRDefault="00B1009A" w:rsidP="004A45B7">
      <w:pPr>
        <w:pStyle w:val="Default"/>
        <w:numPr>
          <w:ilvl w:val="0"/>
          <w:numId w:val="3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Size of pipe.</w:t>
      </w:r>
    </w:p>
    <w:p w:rsidR="004A45B7" w:rsidRPr="002A46DB" w:rsidRDefault="004A45B7" w:rsidP="004A45B7">
      <w:pPr>
        <w:pStyle w:val="Default"/>
        <w:numPr>
          <w:ilvl w:val="0"/>
          <w:numId w:val="3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Future access to</w:t>
      </w:r>
      <w:r w:rsidR="00B1009A" w:rsidRPr="002A46DB">
        <w:rPr>
          <w:rFonts w:ascii="Arial" w:hAnsi="Arial" w:cs="Arial"/>
          <w:color w:val="221E1F"/>
          <w:sz w:val="22"/>
          <w:szCs w:val="22"/>
        </w:rPr>
        <w:t xml:space="preserve"> pipe.</w:t>
      </w:r>
    </w:p>
    <w:p w:rsidR="004A45B7" w:rsidRPr="002A46DB" w:rsidRDefault="004A45B7" w:rsidP="004A45B7">
      <w:pPr>
        <w:pStyle w:val="Default"/>
        <w:numPr>
          <w:ilvl w:val="0"/>
          <w:numId w:val="3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Type of structure proposed. </w:t>
      </w:r>
    </w:p>
    <w:p w:rsidR="004A45B7" w:rsidRDefault="004A45B7" w:rsidP="004A45B7"/>
    <w:p w:rsidR="004A45B7" w:rsidRDefault="004A45B7" w:rsidP="004A45B7">
      <w:pPr>
        <w:pStyle w:val="Heading2"/>
      </w:pPr>
      <w:r>
        <w:t>Council classify approved structures into two categories</w:t>
      </w:r>
      <w:proofErr w:type="gramStart"/>
      <w:r>
        <w:t>:-</w:t>
      </w:r>
      <w:proofErr w:type="gramEnd"/>
      <w:r>
        <w:t xml:space="preserve"> Minor and Major </w:t>
      </w:r>
    </w:p>
    <w:p w:rsidR="004A45B7" w:rsidRPr="002A46DB" w:rsidRDefault="004A45B7" w:rsidP="004A45B7">
      <w:pPr>
        <w:pStyle w:val="CM14"/>
        <w:spacing w:after="95" w:line="240" w:lineRule="atLeast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For </w:t>
      </w: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minor works and structures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 (as defined below) the owner is required to enter into a standard Build </w:t>
      </w:r>
      <w:proofErr w:type="gramStart"/>
      <w:r w:rsidRPr="002A46DB">
        <w:rPr>
          <w:rFonts w:ascii="Arial" w:hAnsi="Arial" w:cs="Arial"/>
          <w:color w:val="221E1F"/>
          <w:sz w:val="22"/>
          <w:szCs w:val="22"/>
        </w:rPr>
        <w:t>Over</w:t>
      </w:r>
      <w:proofErr w:type="gramEnd"/>
      <w:r w:rsidRPr="002A46DB">
        <w:rPr>
          <w:rFonts w:ascii="Arial" w:hAnsi="Arial" w:cs="Arial"/>
          <w:color w:val="221E1F"/>
          <w:sz w:val="22"/>
          <w:szCs w:val="22"/>
        </w:rPr>
        <w:t xml:space="preserve"> Easement Agreement. </w:t>
      </w:r>
    </w:p>
    <w:p w:rsidR="004A45B7" w:rsidRPr="002A46DB" w:rsidRDefault="004A45B7" w:rsidP="004A45B7">
      <w:pPr>
        <w:pStyle w:val="CM17"/>
        <w:spacing w:after="200" w:line="240" w:lineRule="atLeast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For </w:t>
      </w: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major works and structures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 the owner is required to enter into a Section 173 agreement with the Council that contains appropriate terms and conditions that ensures the ongoing protection of Council’s interests and assets in an easement. Where a Section 173 agreement is required the owner is to bear all costs for drafting the agreement and for registering the agreement on title. This is a lengthy and expensive process. </w:t>
      </w:r>
    </w:p>
    <w:p w:rsidR="004A45B7" w:rsidRDefault="004A45B7" w:rsidP="004A45B7">
      <w:pPr>
        <w:pStyle w:val="Heading2"/>
      </w:pPr>
      <w:r>
        <w:lastRenderedPageBreak/>
        <w:t xml:space="preserve">Minor and major structures are categorised in the following section: </w:t>
      </w:r>
    </w:p>
    <w:p w:rsidR="004A45B7" w:rsidRDefault="004A45B7" w:rsidP="004A45B7">
      <w:pPr>
        <w:pStyle w:val="Heading2"/>
      </w:pPr>
      <w:r>
        <w:t xml:space="preserve">Minor </w:t>
      </w:r>
    </w:p>
    <w:p w:rsidR="004A45B7" w:rsidRPr="002A46DB" w:rsidRDefault="004A45B7" w:rsidP="004A45B7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Timber fence</w:t>
      </w:r>
      <w:r w:rsidR="00B1009A" w:rsidRPr="002A46DB">
        <w:rPr>
          <w:rFonts w:ascii="Arial" w:hAnsi="Arial" w:cs="Arial"/>
          <w:b/>
          <w:bCs/>
          <w:color w:val="221E1F"/>
          <w:sz w:val="22"/>
          <w:szCs w:val="22"/>
        </w:rPr>
        <w:t>.</w:t>
      </w:r>
    </w:p>
    <w:p w:rsidR="004A45B7" w:rsidRPr="002A46DB" w:rsidRDefault="004A45B7" w:rsidP="0046649A">
      <w:pPr>
        <w:pStyle w:val="Default"/>
        <w:numPr>
          <w:ilvl w:val="0"/>
          <w:numId w:val="4"/>
        </w:numPr>
        <w:ind w:left="720" w:hanging="720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Brick fence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 perpendicular to easement provided no load is</w:t>
      </w:r>
      <w:r w:rsidR="00B1009A" w:rsidRPr="002A46DB">
        <w:rPr>
          <w:rFonts w:ascii="Arial" w:hAnsi="Arial" w:cs="Arial"/>
          <w:color w:val="221E1F"/>
          <w:sz w:val="22"/>
          <w:szCs w:val="22"/>
        </w:rPr>
        <w:t xml:space="preserve"> transferred to Council’s drain.</w:t>
      </w:r>
    </w:p>
    <w:p w:rsidR="004A45B7" w:rsidRPr="002A46DB" w:rsidRDefault="004A45B7" w:rsidP="004A45B7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 xml:space="preserve">Internal Services </w:t>
      </w:r>
      <w:r w:rsidRPr="002A46DB">
        <w:rPr>
          <w:rFonts w:ascii="Arial" w:hAnsi="Arial" w:cs="Arial"/>
          <w:bCs/>
          <w:color w:val="221E1F"/>
          <w:sz w:val="22"/>
          <w:szCs w:val="22"/>
        </w:rPr>
        <w:t>i.e. down pipes, sewer pipes</w:t>
      </w:r>
      <w:r w:rsidR="00B1009A" w:rsidRPr="002A46DB">
        <w:rPr>
          <w:rFonts w:ascii="Arial" w:hAnsi="Arial" w:cs="Arial"/>
          <w:bCs/>
          <w:color w:val="221E1F"/>
          <w:sz w:val="22"/>
          <w:szCs w:val="22"/>
        </w:rPr>
        <w:t>.</w:t>
      </w:r>
    </w:p>
    <w:p w:rsidR="004A45B7" w:rsidRPr="002A46DB" w:rsidRDefault="004A45B7" w:rsidP="0046649A">
      <w:pPr>
        <w:pStyle w:val="Default"/>
        <w:numPr>
          <w:ilvl w:val="0"/>
          <w:numId w:val="4"/>
        </w:numPr>
        <w:ind w:left="720" w:hanging="720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 xml:space="preserve">Stand alone outbuildings </w:t>
      </w:r>
      <w:r w:rsidRPr="002A46DB">
        <w:rPr>
          <w:rFonts w:ascii="Arial" w:hAnsi="Arial" w:cs="Arial"/>
          <w:bCs/>
          <w:color w:val="221E1F"/>
          <w:sz w:val="22"/>
          <w:szCs w:val="22"/>
        </w:rPr>
        <w:t>of light weight materials and steel frame with a floor area of less than 23 square metres such as steel shed</w:t>
      </w:r>
      <w:r w:rsidR="00B1009A" w:rsidRPr="002A46DB">
        <w:rPr>
          <w:rFonts w:ascii="Arial" w:hAnsi="Arial" w:cs="Arial"/>
          <w:bCs/>
          <w:color w:val="221E1F"/>
          <w:sz w:val="22"/>
          <w:szCs w:val="22"/>
        </w:rPr>
        <w:t>.</w:t>
      </w:r>
    </w:p>
    <w:p w:rsidR="00B1009A" w:rsidRPr="002A46DB" w:rsidRDefault="00B1009A" w:rsidP="00B1009A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 xml:space="preserve">Cut or Fill </w:t>
      </w:r>
      <w:r w:rsidRPr="002A46DB">
        <w:rPr>
          <w:rFonts w:ascii="Arial" w:hAnsi="Arial" w:cs="Arial"/>
          <w:color w:val="221E1F"/>
          <w:sz w:val="22"/>
          <w:szCs w:val="22"/>
        </w:rPr>
        <w:t>– Minimum 400mm cover to overt (top) of pipe.</w:t>
      </w:r>
    </w:p>
    <w:p w:rsidR="00B1009A" w:rsidRPr="002A46DB" w:rsidRDefault="00B1009A" w:rsidP="0046649A">
      <w:pPr>
        <w:pStyle w:val="Default"/>
        <w:numPr>
          <w:ilvl w:val="0"/>
          <w:numId w:val="4"/>
        </w:numPr>
        <w:ind w:left="720" w:hanging="720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A simple </w:t>
      </w: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 xml:space="preserve">open carport </w:t>
      </w:r>
      <w:r w:rsidRPr="002A46DB">
        <w:rPr>
          <w:rFonts w:ascii="Arial" w:hAnsi="Arial" w:cs="Arial"/>
          <w:color w:val="221E1F"/>
          <w:sz w:val="22"/>
          <w:szCs w:val="22"/>
        </w:rPr>
        <w:t>i.e. with a flat steel roof, flat frame and steel or timber posts.</w:t>
      </w:r>
    </w:p>
    <w:p w:rsidR="00B1009A" w:rsidRPr="002A46DB" w:rsidRDefault="00B1009A" w:rsidP="00B1009A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Simple </w:t>
      </w: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timber decking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 structure on timber stumps.</w:t>
      </w:r>
    </w:p>
    <w:p w:rsidR="00B1009A" w:rsidRPr="002A46DB" w:rsidRDefault="00B1009A" w:rsidP="00B1009A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Eaves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 where there is a minimum height from ground level of 2.2m.</w:t>
      </w:r>
    </w:p>
    <w:p w:rsidR="004A45B7" w:rsidRPr="002A46DB" w:rsidRDefault="00B1009A" w:rsidP="0046649A">
      <w:pPr>
        <w:pStyle w:val="CM17"/>
        <w:numPr>
          <w:ilvl w:val="0"/>
          <w:numId w:val="4"/>
        </w:numPr>
        <w:ind w:left="720" w:right="1045" w:hanging="720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 xml:space="preserve">Rain water tank </w:t>
      </w:r>
      <w:r w:rsidRPr="002A46DB">
        <w:rPr>
          <w:rFonts w:ascii="Arial" w:hAnsi="Arial" w:cs="Arial"/>
          <w:color w:val="221E1F"/>
          <w:sz w:val="22"/>
          <w:szCs w:val="22"/>
        </w:rPr>
        <w:t>(not concrete) provided that load is not transferred to Council’s drain i.e. must be on a structural platform.</w:t>
      </w:r>
    </w:p>
    <w:p w:rsidR="0046649A" w:rsidRPr="002A46DB" w:rsidRDefault="0046649A" w:rsidP="0046649A">
      <w:pPr>
        <w:pStyle w:val="Default"/>
        <w:numPr>
          <w:ilvl w:val="0"/>
          <w:numId w:val="4"/>
        </w:numPr>
        <w:ind w:left="720" w:hanging="720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Minor </w:t>
      </w: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retaining walls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 i.e. not requiring a building permit only where it is unavoidable and the full impact on the affect on the Council drain is determined.</w:t>
      </w:r>
    </w:p>
    <w:p w:rsidR="0046649A" w:rsidRPr="002A46DB" w:rsidRDefault="0046649A" w:rsidP="0046649A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Paving, concrete or asphalt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 for pedestrians and vehicles.</w:t>
      </w:r>
    </w:p>
    <w:p w:rsidR="0046649A" w:rsidRPr="002A46DB" w:rsidRDefault="0046649A" w:rsidP="0046649A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Pool surrounds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 provide it is not part of the pool structure.</w:t>
      </w:r>
    </w:p>
    <w:p w:rsidR="0001689B" w:rsidRPr="002A46DB" w:rsidRDefault="0001689B" w:rsidP="0001689B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Any </w:t>
      </w: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structure over a Legal Point of Discharge (LPOD).</w:t>
      </w:r>
    </w:p>
    <w:p w:rsidR="0046649A" w:rsidRPr="0046649A" w:rsidRDefault="0046649A" w:rsidP="0046649A">
      <w:pPr>
        <w:pStyle w:val="Default"/>
      </w:pPr>
    </w:p>
    <w:p w:rsidR="0046649A" w:rsidRDefault="0046649A" w:rsidP="0046649A">
      <w:pPr>
        <w:pStyle w:val="Heading2"/>
      </w:pPr>
      <w:r>
        <w:t xml:space="preserve">Major (Requiring a Section 173 agreement) </w:t>
      </w:r>
    </w:p>
    <w:p w:rsidR="0046649A" w:rsidRPr="002A46DB" w:rsidRDefault="0046649A" w:rsidP="0046649A">
      <w:pPr>
        <w:pStyle w:val="Default"/>
        <w:numPr>
          <w:ilvl w:val="0"/>
          <w:numId w:val="8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Brick garages, workshops or outbuildings.</w:t>
      </w:r>
    </w:p>
    <w:p w:rsidR="0046649A" w:rsidRPr="002A46DB" w:rsidRDefault="0046649A" w:rsidP="0049549B">
      <w:pPr>
        <w:pStyle w:val="Default"/>
        <w:numPr>
          <w:ilvl w:val="0"/>
          <w:numId w:val="8"/>
        </w:numPr>
        <w:spacing w:line="240" w:lineRule="atLeast"/>
        <w:ind w:left="720" w:right="77" w:hanging="720"/>
        <w:jc w:val="both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Stand alone outbuildings of light weight materials and steel frame with a </w:t>
      </w: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>floor area of greater than 23 square metres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 such as a </w:t>
      </w:r>
      <w:r w:rsidR="0049549B" w:rsidRPr="002A46DB">
        <w:rPr>
          <w:rFonts w:ascii="Arial" w:hAnsi="Arial" w:cs="Arial"/>
          <w:color w:val="221E1F"/>
          <w:sz w:val="22"/>
          <w:szCs w:val="22"/>
        </w:rPr>
        <w:t>steel shed.</w:t>
      </w:r>
      <w:r w:rsidRPr="002A46DB">
        <w:rPr>
          <w:rFonts w:ascii="Arial" w:hAnsi="Arial" w:cs="Arial"/>
          <w:color w:val="221E1F"/>
          <w:sz w:val="22"/>
          <w:szCs w:val="22"/>
        </w:rPr>
        <w:t xml:space="preserve"> </w:t>
      </w:r>
    </w:p>
    <w:p w:rsidR="0046649A" w:rsidRPr="002A46DB" w:rsidRDefault="0046649A" w:rsidP="0046649A">
      <w:pPr>
        <w:pStyle w:val="Default"/>
        <w:numPr>
          <w:ilvl w:val="0"/>
          <w:numId w:val="9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 xml:space="preserve">Major timber structures </w:t>
      </w:r>
      <w:r w:rsidRPr="002A46DB">
        <w:rPr>
          <w:rFonts w:ascii="Arial" w:hAnsi="Arial" w:cs="Arial"/>
          <w:color w:val="221E1F"/>
          <w:sz w:val="22"/>
          <w:szCs w:val="22"/>
        </w:rPr>
        <w:t>that don’t</w:t>
      </w:r>
      <w:r w:rsidR="0049549B" w:rsidRPr="002A46DB">
        <w:rPr>
          <w:rFonts w:ascii="Arial" w:hAnsi="Arial" w:cs="Arial"/>
          <w:color w:val="221E1F"/>
          <w:sz w:val="22"/>
          <w:szCs w:val="22"/>
        </w:rPr>
        <w:t xml:space="preserve"> fall within the minor category.</w:t>
      </w:r>
    </w:p>
    <w:p w:rsidR="0046649A" w:rsidRPr="002A46DB" w:rsidRDefault="0046649A" w:rsidP="0046649A">
      <w:pPr>
        <w:pStyle w:val="Default"/>
        <w:numPr>
          <w:ilvl w:val="0"/>
          <w:numId w:val="9"/>
        </w:numPr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 xml:space="preserve">Above ground swimming pools. </w:t>
      </w:r>
    </w:p>
    <w:p w:rsidR="004A45B7" w:rsidRDefault="004A45B7" w:rsidP="004A45B7"/>
    <w:p w:rsidR="0049549B" w:rsidRDefault="0049549B" w:rsidP="0049549B">
      <w:pPr>
        <w:pStyle w:val="Heading2"/>
      </w:pPr>
      <w:r>
        <w:t>Non-Permissible Structures</w:t>
      </w:r>
    </w:p>
    <w:p w:rsidR="0049549B" w:rsidRPr="002A46DB" w:rsidRDefault="0049549B" w:rsidP="0049549B">
      <w:pPr>
        <w:spacing w:after="0"/>
        <w:rPr>
          <w:rFonts w:ascii="Arial" w:hAnsi="Arial" w:cs="Arial"/>
        </w:rPr>
      </w:pPr>
      <w:r w:rsidRPr="002A46DB">
        <w:rPr>
          <w:rFonts w:ascii="Arial" w:hAnsi="Arial" w:cs="Arial"/>
        </w:rPr>
        <w:t xml:space="preserve">Council will </w:t>
      </w:r>
      <w:r w:rsidRPr="002A46DB">
        <w:rPr>
          <w:rFonts w:ascii="Arial" w:hAnsi="Arial" w:cs="Arial"/>
          <w:b/>
        </w:rPr>
        <w:t>not permit the following</w:t>
      </w:r>
      <w:r w:rsidRPr="002A46DB">
        <w:rPr>
          <w:rFonts w:ascii="Arial" w:hAnsi="Arial" w:cs="Arial"/>
        </w:rPr>
        <w:t xml:space="preserve"> in any easement whatsoever:</w:t>
      </w:r>
    </w:p>
    <w:p w:rsidR="0049549B" w:rsidRPr="002A46DB" w:rsidRDefault="0049549B" w:rsidP="0049549B">
      <w:pPr>
        <w:numPr>
          <w:ilvl w:val="0"/>
          <w:numId w:val="10"/>
        </w:numPr>
        <w:spacing w:after="0"/>
        <w:rPr>
          <w:rFonts w:ascii="Arial" w:hAnsi="Arial" w:cs="Arial"/>
        </w:rPr>
      </w:pPr>
      <w:r w:rsidRPr="002A46DB">
        <w:rPr>
          <w:rFonts w:ascii="Arial" w:hAnsi="Arial" w:cs="Arial"/>
        </w:rPr>
        <w:t>Any part of habitable dwelling.</w:t>
      </w:r>
    </w:p>
    <w:p w:rsidR="0049549B" w:rsidRPr="002A46DB" w:rsidRDefault="0049549B" w:rsidP="0049549B">
      <w:pPr>
        <w:numPr>
          <w:ilvl w:val="0"/>
          <w:numId w:val="10"/>
        </w:numPr>
        <w:spacing w:after="0"/>
        <w:rPr>
          <w:rFonts w:ascii="Arial" w:hAnsi="Arial" w:cs="Arial"/>
        </w:rPr>
      </w:pPr>
      <w:r w:rsidRPr="002A46DB">
        <w:rPr>
          <w:rFonts w:ascii="Arial" w:hAnsi="Arial" w:cs="Arial"/>
        </w:rPr>
        <w:t>Any structure under the same roofline as the habitable dwelling.</w:t>
      </w:r>
    </w:p>
    <w:p w:rsidR="0049549B" w:rsidRPr="002A46DB" w:rsidRDefault="0049549B" w:rsidP="0049549B">
      <w:pPr>
        <w:numPr>
          <w:ilvl w:val="0"/>
          <w:numId w:val="10"/>
        </w:numPr>
        <w:spacing w:after="0"/>
        <w:rPr>
          <w:rFonts w:ascii="Arial" w:hAnsi="Arial" w:cs="Arial"/>
        </w:rPr>
      </w:pPr>
      <w:r w:rsidRPr="002A46DB">
        <w:rPr>
          <w:rFonts w:ascii="Arial" w:hAnsi="Arial" w:cs="Arial"/>
        </w:rPr>
        <w:t>In ground Swimming Pools.</w:t>
      </w:r>
    </w:p>
    <w:p w:rsidR="0049549B" w:rsidRPr="002A46DB" w:rsidRDefault="0049549B" w:rsidP="0049549B">
      <w:pPr>
        <w:numPr>
          <w:ilvl w:val="0"/>
          <w:numId w:val="10"/>
        </w:numPr>
        <w:spacing w:after="0"/>
        <w:rPr>
          <w:rFonts w:ascii="Arial" w:hAnsi="Arial" w:cs="Arial"/>
        </w:rPr>
      </w:pPr>
      <w:r w:rsidRPr="002A46DB">
        <w:rPr>
          <w:rFonts w:ascii="Arial" w:hAnsi="Arial" w:cs="Arial"/>
        </w:rPr>
        <w:t xml:space="preserve">Structures containing </w:t>
      </w:r>
      <w:proofErr w:type="spellStart"/>
      <w:r w:rsidRPr="002A46DB">
        <w:rPr>
          <w:rFonts w:ascii="Arial" w:hAnsi="Arial" w:cs="Arial"/>
        </w:rPr>
        <w:t>sewered</w:t>
      </w:r>
      <w:proofErr w:type="spellEnd"/>
      <w:r w:rsidRPr="002A46DB">
        <w:rPr>
          <w:rFonts w:ascii="Arial" w:hAnsi="Arial" w:cs="Arial"/>
        </w:rPr>
        <w:t xml:space="preserve"> fixtures within the easement.</w:t>
      </w:r>
    </w:p>
    <w:p w:rsidR="0049549B" w:rsidRPr="002A46DB" w:rsidRDefault="0049549B" w:rsidP="0049549B">
      <w:pPr>
        <w:numPr>
          <w:ilvl w:val="0"/>
          <w:numId w:val="10"/>
        </w:numPr>
        <w:spacing w:after="0"/>
        <w:rPr>
          <w:rFonts w:ascii="Arial" w:hAnsi="Arial" w:cs="Arial"/>
        </w:rPr>
      </w:pPr>
      <w:r w:rsidRPr="002A46DB">
        <w:rPr>
          <w:rFonts w:ascii="Arial" w:hAnsi="Arial" w:cs="Arial"/>
        </w:rPr>
        <w:t>Industrial buildings.</w:t>
      </w:r>
    </w:p>
    <w:p w:rsidR="0049549B" w:rsidRPr="002A46DB" w:rsidRDefault="0049549B" w:rsidP="0049549B">
      <w:pPr>
        <w:numPr>
          <w:ilvl w:val="0"/>
          <w:numId w:val="10"/>
        </w:numPr>
        <w:spacing w:after="0"/>
        <w:rPr>
          <w:rFonts w:ascii="Arial" w:hAnsi="Arial" w:cs="Arial"/>
        </w:rPr>
      </w:pPr>
      <w:r w:rsidRPr="002A46DB">
        <w:rPr>
          <w:rFonts w:ascii="Arial" w:hAnsi="Arial" w:cs="Arial"/>
        </w:rPr>
        <w:t>Any structure over or within 1m of a stormwater access pit.</w:t>
      </w:r>
    </w:p>
    <w:p w:rsidR="0049549B" w:rsidRPr="002A46DB" w:rsidRDefault="0049549B" w:rsidP="0049549B">
      <w:pPr>
        <w:numPr>
          <w:ilvl w:val="0"/>
          <w:numId w:val="10"/>
        </w:numPr>
        <w:spacing w:after="0"/>
        <w:rPr>
          <w:rFonts w:ascii="Arial" w:hAnsi="Arial" w:cs="Arial"/>
        </w:rPr>
      </w:pPr>
      <w:r w:rsidRPr="002A46DB">
        <w:rPr>
          <w:rFonts w:ascii="Arial" w:hAnsi="Arial" w:cs="Arial"/>
        </w:rPr>
        <w:t>Strip footings, only pad footings are allowed.</w:t>
      </w:r>
    </w:p>
    <w:p w:rsidR="0049549B" w:rsidRDefault="0049549B" w:rsidP="0049549B">
      <w:pPr>
        <w:spacing w:after="0"/>
      </w:pPr>
    </w:p>
    <w:p w:rsidR="0049549B" w:rsidRDefault="0049549B" w:rsidP="0049549B">
      <w:pPr>
        <w:pStyle w:val="Heading2"/>
      </w:pPr>
      <w:r>
        <w:t>Permissible Structures</w:t>
      </w:r>
    </w:p>
    <w:p w:rsidR="0049549B" w:rsidRPr="002A46DB" w:rsidRDefault="0049549B" w:rsidP="0049549B">
      <w:pPr>
        <w:spacing w:after="0"/>
        <w:rPr>
          <w:rFonts w:ascii="Arial" w:hAnsi="Arial" w:cs="Arial"/>
        </w:rPr>
      </w:pPr>
      <w:r w:rsidRPr="002A46DB">
        <w:rPr>
          <w:rFonts w:ascii="Arial" w:hAnsi="Arial" w:cs="Arial"/>
        </w:rPr>
        <w:t>All structures or works over an easement require build over easement approval.</w:t>
      </w:r>
    </w:p>
    <w:p w:rsidR="0049549B" w:rsidRPr="002A46DB" w:rsidRDefault="0049549B" w:rsidP="0049549B">
      <w:pPr>
        <w:spacing w:after="0"/>
        <w:rPr>
          <w:rFonts w:ascii="Arial" w:hAnsi="Arial" w:cs="Arial"/>
        </w:rPr>
      </w:pPr>
      <w:r w:rsidRPr="002A46DB">
        <w:rPr>
          <w:rFonts w:ascii="Arial" w:hAnsi="Arial" w:cs="Arial"/>
        </w:rPr>
        <w:t>Generally approved structures are portable and light weight.</w:t>
      </w:r>
    </w:p>
    <w:p w:rsidR="0049549B" w:rsidRPr="002A46DB" w:rsidRDefault="0049549B" w:rsidP="0049549B">
      <w:pPr>
        <w:spacing w:after="0"/>
        <w:rPr>
          <w:rFonts w:ascii="Arial" w:hAnsi="Arial" w:cs="Arial"/>
        </w:rPr>
      </w:pPr>
      <w:r w:rsidRPr="002A46DB">
        <w:rPr>
          <w:rFonts w:ascii="Arial" w:hAnsi="Arial" w:cs="Arial"/>
        </w:rPr>
        <w:t>If there are no assets in the easement and the easement is not required for future use some exemptions as to what is approved may be considered.</w:t>
      </w:r>
    </w:p>
    <w:p w:rsidR="0049549B" w:rsidRDefault="0049549B" w:rsidP="0049549B">
      <w:pPr>
        <w:pStyle w:val="Heading2"/>
      </w:pPr>
      <w:r>
        <w:br w:type="page"/>
      </w:r>
      <w:r>
        <w:lastRenderedPageBreak/>
        <w:t xml:space="preserve">Construction Conditions </w:t>
      </w:r>
    </w:p>
    <w:p w:rsidR="0049549B" w:rsidRPr="002A46DB" w:rsidRDefault="0049549B" w:rsidP="0049549B">
      <w:pPr>
        <w:pStyle w:val="CM14"/>
        <w:spacing w:after="95" w:line="240" w:lineRule="atLeast"/>
        <w:ind w:right="545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Major and minor structures must all comply with the following requirements and will be reviewed as part of the application process. </w:t>
      </w:r>
    </w:p>
    <w:p w:rsidR="0049549B" w:rsidRPr="002A46DB" w:rsidRDefault="0049549B" w:rsidP="002A46DB">
      <w:pPr>
        <w:pStyle w:val="CM2"/>
        <w:numPr>
          <w:ilvl w:val="0"/>
          <w:numId w:val="10"/>
        </w:numPr>
        <w:ind w:left="720" w:right="257" w:hanging="720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Any proposed buildings, works or structures are designed and constructed in a manner which protects the structural integrity of the drain e.g. no loads transferred to the drain. This may require deeper footings than structurally required to satisfy the angle of repose. </w:t>
      </w:r>
    </w:p>
    <w:p w:rsidR="0049549B" w:rsidRPr="002A46DB" w:rsidRDefault="0049549B" w:rsidP="002A46DB">
      <w:pPr>
        <w:pStyle w:val="CM2"/>
        <w:ind w:left="720" w:hanging="720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•</w:t>
      </w:r>
      <w:r w:rsidRPr="002A46DB">
        <w:rPr>
          <w:rFonts w:ascii="Arial" w:hAnsi="Arial" w:cs="Arial"/>
          <w:color w:val="221E1F"/>
          <w:sz w:val="22"/>
          <w:szCs w:val="22"/>
        </w:rPr>
        <w:tab/>
        <w:t xml:space="preserve"> Any part of the building, structure (including footings) or works is kept at least 300 mm </w:t>
      </w:r>
      <w:r w:rsidR="00755790" w:rsidRPr="002A46DB">
        <w:rPr>
          <w:rFonts w:ascii="Arial" w:hAnsi="Arial" w:cs="Arial"/>
          <w:color w:val="221E1F"/>
          <w:sz w:val="22"/>
          <w:szCs w:val="22"/>
        </w:rPr>
        <w:t>clear of the underground drain.</w:t>
      </w:r>
    </w:p>
    <w:p w:rsidR="00755790" w:rsidRDefault="00755790" w:rsidP="00755790">
      <w:pPr>
        <w:pStyle w:val="Heading2"/>
      </w:pPr>
      <w:r>
        <w:t xml:space="preserve">Application process </w:t>
      </w:r>
    </w:p>
    <w:p w:rsidR="00755790" w:rsidRPr="002A46DB" w:rsidRDefault="00755790" w:rsidP="00755790">
      <w:pPr>
        <w:pStyle w:val="CM16"/>
        <w:spacing w:after="75" w:line="240" w:lineRule="atLeast"/>
        <w:ind w:right="425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Application forms are available for download from www.melton.vic</w:t>
      </w:r>
      <w:r w:rsidR="001E2234" w:rsidRPr="002A46DB">
        <w:rPr>
          <w:rFonts w:ascii="Arial" w:hAnsi="Arial" w:cs="Arial"/>
          <w:color w:val="221E1F"/>
          <w:sz w:val="22"/>
          <w:szCs w:val="22"/>
        </w:rPr>
        <w:t xml:space="preserve">.gov.au or can be picked up from </w:t>
      </w:r>
      <w:r w:rsidRPr="002A46DB">
        <w:rPr>
          <w:rFonts w:ascii="Arial" w:hAnsi="Arial" w:cs="Arial"/>
          <w:color w:val="221E1F"/>
          <w:sz w:val="22"/>
          <w:szCs w:val="22"/>
        </w:rPr>
        <w:t>customer service in Melton and Caroline Springs.</w:t>
      </w:r>
    </w:p>
    <w:p w:rsidR="00755790" w:rsidRPr="002A46DB" w:rsidRDefault="00755790" w:rsidP="00755790">
      <w:pPr>
        <w:pStyle w:val="CM16"/>
        <w:spacing w:after="75" w:line="240" w:lineRule="atLeast"/>
        <w:ind w:right="425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There may be other services such as sewer in your easement. Approval from all other authorities must be obtained before submitting your application and gaining Council approval. </w:t>
      </w:r>
    </w:p>
    <w:p w:rsidR="00755790" w:rsidRPr="002A46DB" w:rsidRDefault="00755790" w:rsidP="00755790">
      <w:pPr>
        <w:pStyle w:val="CM4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Applications received will be assessed according the policy and approved structures will receive an approval letter and stamped plans. Structures that are not approved will be informed via a written response.</w:t>
      </w:r>
    </w:p>
    <w:p w:rsidR="00755790" w:rsidRPr="002A46DB" w:rsidRDefault="00755790" w:rsidP="00755790">
      <w:pPr>
        <w:pStyle w:val="Default"/>
        <w:rPr>
          <w:rFonts w:ascii="Arial" w:hAnsi="Arial" w:cs="Arial"/>
          <w:sz w:val="22"/>
          <w:szCs w:val="22"/>
        </w:rPr>
      </w:pPr>
    </w:p>
    <w:p w:rsidR="00755790" w:rsidRPr="002A46DB" w:rsidRDefault="00755790" w:rsidP="001E2234">
      <w:pPr>
        <w:pStyle w:val="CM14"/>
        <w:spacing w:after="95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>This is a general guide. Not all aspects have been covered. Please contact Engineering Services for further information.</w:t>
      </w:r>
    </w:p>
    <w:p w:rsidR="00755790" w:rsidRPr="002A46DB" w:rsidRDefault="00755790" w:rsidP="00755790">
      <w:pPr>
        <w:pStyle w:val="CM14"/>
        <w:spacing w:after="95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color w:val="221E1F"/>
          <w:sz w:val="22"/>
          <w:szCs w:val="22"/>
        </w:rPr>
        <w:t xml:space="preserve">For more information contact: </w:t>
      </w:r>
    </w:p>
    <w:p w:rsidR="00755790" w:rsidRPr="002A46DB" w:rsidRDefault="00755790" w:rsidP="00755790">
      <w:pPr>
        <w:pStyle w:val="CM1"/>
        <w:rPr>
          <w:rFonts w:ascii="Arial" w:hAnsi="Arial" w:cs="Arial"/>
          <w:color w:val="221E1F"/>
          <w:sz w:val="22"/>
          <w:szCs w:val="22"/>
        </w:rPr>
      </w:pP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 xml:space="preserve">Melton </w:t>
      </w:r>
      <w:r w:rsidR="0000594F">
        <w:rPr>
          <w:rFonts w:ascii="Arial" w:hAnsi="Arial" w:cs="Arial"/>
          <w:b/>
          <w:bCs/>
          <w:color w:val="221E1F"/>
          <w:sz w:val="22"/>
          <w:szCs w:val="22"/>
        </w:rPr>
        <w:t>City</w:t>
      </w:r>
      <w:r w:rsidRPr="002A46DB">
        <w:rPr>
          <w:rFonts w:ascii="Arial" w:hAnsi="Arial" w:cs="Arial"/>
          <w:b/>
          <w:bCs/>
          <w:color w:val="221E1F"/>
          <w:sz w:val="22"/>
          <w:szCs w:val="22"/>
        </w:rPr>
        <w:t xml:space="preserve"> Council: </w:t>
      </w:r>
      <w:r w:rsidRPr="002A46DB">
        <w:rPr>
          <w:rFonts w:ascii="Arial" w:hAnsi="Arial" w:cs="Arial"/>
          <w:color w:val="221E1F"/>
          <w:sz w:val="22"/>
          <w:szCs w:val="22"/>
        </w:rPr>
        <w:t>232 High Street Melton Victoria 3337 and 193-199 Caroline Springs Boulevard, Caroline Springs 3023. Phone 9747 7200. Website www.melton.vic.gov.au</w:t>
      </w:r>
    </w:p>
    <w:p w:rsidR="00755790" w:rsidRDefault="00755790" w:rsidP="00755790">
      <w:pPr>
        <w:pStyle w:val="Default"/>
        <w:rPr>
          <w:color w:val="221E1F"/>
          <w:sz w:val="20"/>
          <w:szCs w:val="20"/>
        </w:rPr>
      </w:pPr>
    </w:p>
    <w:p w:rsidR="00755790" w:rsidRPr="00755790" w:rsidRDefault="00755790" w:rsidP="00755790">
      <w:pPr>
        <w:pStyle w:val="Default"/>
      </w:pPr>
    </w:p>
    <w:p w:rsidR="00755790" w:rsidRPr="00755790" w:rsidRDefault="00755790" w:rsidP="00755790">
      <w:pPr>
        <w:pStyle w:val="Default"/>
      </w:pPr>
    </w:p>
    <w:p w:rsidR="00755790" w:rsidRPr="00755790" w:rsidRDefault="00755790" w:rsidP="00755790">
      <w:pPr>
        <w:pStyle w:val="Default"/>
      </w:pPr>
    </w:p>
    <w:p w:rsidR="00755790" w:rsidRPr="00755790" w:rsidRDefault="00755790" w:rsidP="00755790">
      <w:pPr>
        <w:pStyle w:val="Default"/>
      </w:pPr>
    </w:p>
    <w:p w:rsidR="0049549B" w:rsidRPr="0049549B" w:rsidRDefault="0049549B" w:rsidP="0049549B">
      <w:pPr>
        <w:spacing w:after="0"/>
      </w:pPr>
    </w:p>
    <w:p w:rsidR="0049549B" w:rsidRPr="004A45B7" w:rsidRDefault="0049549B" w:rsidP="0049549B">
      <w:pPr>
        <w:spacing w:after="0"/>
      </w:pPr>
    </w:p>
    <w:sectPr w:rsidR="0049549B" w:rsidRPr="004A45B7" w:rsidSect="00A55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 LightCond">
    <w:altName w:val="HelveticaNeue Light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E3838"/>
    <w:multiLevelType w:val="hybridMultilevel"/>
    <w:tmpl w:val="E0CBA5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2F985A"/>
    <w:multiLevelType w:val="hybridMultilevel"/>
    <w:tmpl w:val="DB60A8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EED66F"/>
    <w:multiLevelType w:val="hybridMultilevel"/>
    <w:tmpl w:val="4F70F3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CAA6F11"/>
    <w:multiLevelType w:val="hybridMultilevel"/>
    <w:tmpl w:val="1D2B51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20DD7B"/>
    <w:multiLevelType w:val="hybridMultilevel"/>
    <w:tmpl w:val="9C33FA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CC6020"/>
    <w:multiLevelType w:val="hybridMultilevel"/>
    <w:tmpl w:val="E98A0A9E"/>
    <w:lvl w:ilvl="0" w:tplc="FFFFFFFF">
      <w:start w:val="1"/>
      <w:numFmt w:val="bullet"/>
      <w:lvlText w:val="•"/>
      <w:lvlJc w:val="left"/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ED9F8"/>
    <w:multiLevelType w:val="hybridMultilevel"/>
    <w:tmpl w:val="8CD70D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A3D34F9"/>
    <w:multiLevelType w:val="hybridMultilevel"/>
    <w:tmpl w:val="23F860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04028DF"/>
    <w:multiLevelType w:val="hybridMultilevel"/>
    <w:tmpl w:val="57A39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91834DB"/>
    <w:multiLevelType w:val="hybridMultilevel"/>
    <w:tmpl w:val="FC341B86"/>
    <w:lvl w:ilvl="0" w:tplc="FFFFFFFF">
      <w:start w:val="1"/>
      <w:numFmt w:val="bullet"/>
      <w:lvlText w:val="•"/>
      <w:lvlJc w:val="left"/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93620"/>
    <w:multiLevelType w:val="hybridMultilevel"/>
    <w:tmpl w:val="7C6F99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A45B7"/>
    <w:rsid w:val="0000594F"/>
    <w:rsid w:val="0001689B"/>
    <w:rsid w:val="001E2234"/>
    <w:rsid w:val="00216A13"/>
    <w:rsid w:val="002A46DB"/>
    <w:rsid w:val="002E51E9"/>
    <w:rsid w:val="0046649A"/>
    <w:rsid w:val="0049549B"/>
    <w:rsid w:val="004A45B7"/>
    <w:rsid w:val="00631B2D"/>
    <w:rsid w:val="00641180"/>
    <w:rsid w:val="00755790"/>
    <w:rsid w:val="008C377D"/>
    <w:rsid w:val="00A55352"/>
    <w:rsid w:val="00B1009A"/>
    <w:rsid w:val="00D50FE3"/>
    <w:rsid w:val="00EA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5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5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5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M14">
    <w:name w:val="CM14"/>
    <w:basedOn w:val="Normal"/>
    <w:next w:val="Normal"/>
    <w:uiPriority w:val="99"/>
    <w:rsid w:val="004A45B7"/>
    <w:pPr>
      <w:widowControl w:val="0"/>
      <w:autoSpaceDE w:val="0"/>
      <w:autoSpaceDN w:val="0"/>
      <w:adjustRightInd w:val="0"/>
      <w:spacing w:after="0" w:line="240" w:lineRule="auto"/>
    </w:pPr>
    <w:rPr>
      <w:rFonts w:ascii="HelveticaNeue LightCond" w:eastAsia="Times New Roman" w:hAnsi="HelveticaNeue LightCond"/>
      <w:sz w:val="24"/>
      <w:szCs w:val="24"/>
      <w:lang w:eastAsia="en-AU"/>
    </w:rPr>
  </w:style>
  <w:style w:type="paragraph" w:customStyle="1" w:styleId="Default">
    <w:name w:val="Default"/>
    <w:rsid w:val="004A45B7"/>
    <w:pPr>
      <w:widowControl w:val="0"/>
      <w:autoSpaceDE w:val="0"/>
      <w:autoSpaceDN w:val="0"/>
      <w:adjustRightInd w:val="0"/>
    </w:pPr>
    <w:rPr>
      <w:rFonts w:ascii="HelveticaNeue LightCond" w:eastAsia="Times New Roman" w:hAnsi="HelveticaNeue LightCond" w:cs="HelveticaNeue LightCon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A45B7"/>
    <w:pPr>
      <w:spacing w:line="24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4A45B7"/>
    <w:pPr>
      <w:spacing w:line="24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4A45B7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4A45B7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46649A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46649A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9549B"/>
    <w:pPr>
      <w:spacing w:line="24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55790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55790"/>
    <w:pPr>
      <w:spacing w:line="27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A502-CBC7-48A2-842C-E4A81CD8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4636</Characters>
  <Application>Microsoft Office Word</Application>
  <DocSecurity>0</DocSecurity>
  <Lines>114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Melton Shire Council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janelles</dc:creator>
  <cp:lastModifiedBy>janelles</cp:lastModifiedBy>
  <cp:revision>2</cp:revision>
  <dcterms:created xsi:type="dcterms:W3CDTF">2017-02-08T23:35:00Z</dcterms:created>
  <dcterms:modified xsi:type="dcterms:W3CDTF">2017-02-08T23:35:00Z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